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60" w:line="240" w:lineRule="auto"/>
        <w:keepNext/>
        <w:keepLines/>
        <w:widowControl/>
      </w:pPr>
      <w:r>
        <w:rPr>
          <w:rFonts w:ascii="Arial" w:hAnsi="Arial" w:eastAsia="Arial"/>
          <w:b w:val="0"/>
          <w:i w:val="0"/>
          <w:color w:val="000000"/>
          <w:sz w:val="52"/>
        </w:rPr>
        <w:t>Executive Biography</w:t>
      </w:r>
    </w:p>
    <w:p>
      <w:pPr>
        <w:pStyle w:val="Heading1"/>
        <w:spacing w:before="0" w:after="20" w:line="240" w:lineRule="auto"/>
        <w:keepNext/>
        <w:keepLines/>
        <w:widowControl/>
      </w:pPr>
      <w:r>
        <w:rPr>
          <w:rFonts w:ascii="Arial" w:hAnsi="Arial" w:eastAsia="Arial"/>
          <w:b w:val="0"/>
          <w:i w:val="0"/>
          <w:color w:val="000000"/>
          <w:sz w:val="40"/>
        </w:rPr>
        <w:t>Sally O’Callaghan</w:t>
      </w:r>
    </w:p>
    <w:p>
      <w:pPr>
        <w:spacing w:before="0" w:after="200" w:line="240" w:lineRule="auto"/>
        <w:keepNext/>
        <w:keepLines/>
        <w:widowControl/>
      </w:pPr>
      <w:r>
        <w:rPr>
          <w:rFonts w:ascii="Arial" w:hAnsi="Arial" w:eastAsia="Arial"/>
          <w:b w:val="0"/>
          <w:i w:val="0"/>
          <w:color w:val="555555"/>
          <w:sz w:val="21"/>
        </w:rPr>
        <w:t>Research Strategy  |  Research Governance &amp; Clinical Trials  |  Health-System Leadership</w:t>
      </w:r>
    </w:p>
    <w:p>
      <w:pPr>
        <w:spacing w:before="0" w:after="160" w:line="276" w:lineRule="auto"/>
        <w:jc w:val="left"/>
        <w:keepLines/>
        <w:widowControl/>
      </w:pPr>
      <w:r>
        <w:rPr>
          <w:rFonts w:ascii="Arial" w:hAnsi="Arial" w:eastAsia="Arial"/>
          <w:b w:val="0"/>
          <w:i w:val="0"/>
          <w:color w:val="000000"/>
          <w:sz w:val="22"/>
        </w:rPr>
        <w:t>Sally O’Callaghan is a registered nurse and senior clinical research and health-system leader with more than twenty years’ experience spanning critical care, global biotechnology, statewide clinical services, mental-health research, research governance and executive operations. She is recognised for translating evidence, policy and regulatory requirements into practical systems that strengthen participant safety, organisational capability and sustainable service delivery.</w:t>
      </w:r>
    </w:p>
    <w:p>
      <w:pPr>
        <w:spacing w:before="0" w:after="160" w:line="276" w:lineRule="auto"/>
        <w:jc w:val="left"/>
        <w:keepLines/>
        <w:widowControl/>
      </w:pPr>
      <w:r>
        <w:rPr>
          <w:rFonts w:ascii="Arial" w:hAnsi="Arial" w:eastAsia="Arial"/>
          <w:b w:val="0"/>
          <w:i w:val="0"/>
          <w:color w:val="000000"/>
          <w:sz w:val="22"/>
        </w:rPr>
        <w:t>Most recently, as Clinical Operations Director at Doherty Clinical Trials, Sally led the establishment and operational maturity of an independent early-phase service. She integrated a 25-bed inpatient unit, outpatient care, an on-site dispensary, a PC2 laboratory and 24-hour clinical operations, while developing the multidisciplinary workforce, governance and readiness systems required for first-in-human, vaccine, medical-device and controlled human infection studies. Her work supported Australia’s first influenza human-challenge study and a pioneering Strep A human-challenge program, and built trusted partnerships across health services, universities, government, research institutes, biotechnology companies, sponsors and CROs.</w:t>
      </w:r>
    </w:p>
    <w:p>
      <w:pPr>
        <w:spacing w:before="0" w:after="160" w:line="276" w:lineRule="auto"/>
        <w:jc w:val="left"/>
        <w:keepLines/>
        <w:widowControl/>
      </w:pPr>
      <w:r>
        <w:rPr>
          <w:rFonts w:ascii="Arial" w:hAnsi="Arial" w:eastAsia="Arial"/>
          <w:b w:val="0"/>
          <w:i w:val="0"/>
          <w:color w:val="000000"/>
          <w:sz w:val="22"/>
        </w:rPr>
        <w:t>At Orygen, Sally led sponsor operations and research integrity across more than 100 active protocols. During COVID-19, she helped redesign youth-mental-health research for telehealth delivery, mobilised cross-institutional workforce capacity and protected access for young people while strengthening governance. She secured investment in digital quality infrastructure and led Research Office preparation for a successful TGA GCP Inspection Pilot audit. She also represented Orygen in a Victorian cross-sector initiative that combined local experience with international guidance and contributed to the TGA’s 2020 adoption of guidance supporting appropriate adolescent inclusion in adult oncology trials.</w:t>
      </w:r>
    </w:p>
    <w:p>
      <w:pPr>
        <w:spacing w:before="0" w:after="160" w:line="276" w:lineRule="auto"/>
        <w:jc w:val="left"/>
        <w:keepLines/>
        <w:widowControl/>
      </w:pPr>
      <w:r>
        <w:rPr>
          <w:rFonts w:ascii="Arial" w:hAnsi="Arial" w:eastAsia="Arial"/>
          <w:b w:val="0"/>
          <w:i w:val="0"/>
          <w:color w:val="000000"/>
          <w:sz w:val="22"/>
        </w:rPr>
        <w:t>Her earlier career developed breadth across statewide and global systems. With DonateLife Victoria and Alfred Health, Sally coordinated more than 55 organ and tissue donation cases, aligning metropolitan and regional clinical teams in time-critical, ethically complex circumstances while maintaining family-centred care. At Amgen Australia, she led Australian delivery of a 10-year Phase III metastatic breast-cancer study across 23 sites and more than 300 participants, supported Phase I–IV portfolios and managed oncology pharmacovigilance responsibilities within a global matrix.</w:t>
      </w:r>
    </w:p>
    <w:p>
      <w:pPr>
        <w:spacing w:before="0" w:after="160" w:line="276" w:lineRule="auto"/>
        <w:jc w:val="left"/>
        <w:keepLines/>
        <w:widowControl/>
      </w:pPr>
      <w:r>
        <w:rPr>
          <w:rFonts w:ascii="Arial" w:hAnsi="Arial" w:eastAsia="Arial"/>
          <w:b w:val="0"/>
          <w:i w:val="0"/>
          <w:color w:val="000000"/>
          <w:sz w:val="22"/>
        </w:rPr>
        <w:t>Sally contributes nationally to clinical-trials capability and reform through A-CTEC, CT:IQ, PRAXIS and sector forums. Her work includes role-based GCP education, implementation discussion for ICH E6(R3), recruitment and informed-consent initiatives, and advocacy for embedding research into routine healthcare. She is an inaugural Bullwinkel Scholarship recipient and graduate of the Australian College of Nursing’s Nurse Executive Leadership Program, with further executive development through Women &amp; Leadership Australia and postgraduate critical-care training.</w:t>
      </w:r>
    </w:p>
    <w:p>
      <w:pPr>
        <w:spacing w:before="0" w:after="160" w:line="276" w:lineRule="auto"/>
        <w:jc w:val="left"/>
        <w:keepLines/>
        <w:widowControl/>
      </w:pPr>
      <w:r>
        <w:rPr>
          <w:rFonts w:ascii="Arial" w:hAnsi="Arial" w:eastAsia="Arial"/>
          <w:b w:val="0"/>
          <w:i w:val="0"/>
          <w:color w:val="000000"/>
          <w:sz w:val="22"/>
        </w:rPr>
        <w:t>Her leadership is curious, evidence-informed, calm and direct. She creates clarity, makes risk visible and invites respectful challenge; pairs accountability with coaching and trusted autonomy; and keeps patients, participants and public value at the centre of decisions. Sally brings a rare combination of frontline clinical insight, sponsor-side research expertise and executive system leadership to appointments requiring reform, partnership and durable organisational capability.</w:t>
      </w:r>
    </w:p>
    <w:sectPr w:rsidR="00FC693F" w:rsidRPr="0006063C" w:rsidSect="00034616">
      <w:pgSz w:w="11906" w:h="16838"/>
      <w:pgMar w:top="879" w:right="992" w:bottom="879" w:left="992"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276" w:lineRule="auto"/>
    </w:pPr>
    <w:rPr>
      <w:rFonts w:ascii="Arial" w:hAnsi="Arial" w:eastAsia="Arial"/>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00" w:after="120"/>
      <w:outlineLvl w:val="0"/>
    </w:pPr>
    <w:rPr>
      <w:rFonts w:asciiTheme="majorHAnsi" w:eastAsiaTheme="majorEastAsia" w:hAnsiTheme="majorHAnsi" w:cstheme="majorBidi" w:ascii="Arial" w:hAnsi="Arial" w:eastAsia="Arial"/>
      <w:b w:val="0"/>
      <w:bCs/>
      <w:color w:val="000000"/>
      <w:sz w:val="40"/>
      <w:szCs w:val="28"/>
    </w:rPr>
  </w:style>
  <w:style w:type="paragraph" w:styleId="Heading2">
    <w:name w:val="heading 2"/>
    <w:basedOn w:val="Normal"/>
    <w:next w:val="Normal"/>
    <w:link w:val="Heading2Char"/>
    <w:uiPriority w:val="9"/>
    <w:unhideWhenUsed/>
    <w:qFormat/>
    <w:rsid w:val="00FC693F"/>
    <w:pPr>
      <w:keepNext/>
      <w:keepLines/>
      <w:spacing w:before="360" w:after="120"/>
      <w:outlineLvl w:val="1"/>
    </w:pPr>
    <w:rPr>
      <w:rFonts w:asciiTheme="majorHAnsi" w:eastAsiaTheme="majorEastAsia" w:hAnsiTheme="majorHAnsi" w:cstheme="majorBidi" w:ascii="Arial" w:hAnsi="Arial" w:eastAsia="Arial"/>
      <w:b w:val="0"/>
      <w:bCs/>
      <w:color w:val="000000"/>
      <w:sz w:val="32"/>
      <w:szCs w:val="26"/>
    </w:rPr>
  </w:style>
  <w:style w:type="paragraph" w:styleId="Heading3">
    <w:name w:val="heading 3"/>
    <w:basedOn w:val="Normal"/>
    <w:next w:val="Normal"/>
    <w:link w:val="Heading3Char"/>
    <w:uiPriority w:val="9"/>
    <w:unhideWhenUsed/>
    <w:qFormat/>
    <w:rsid w:val="00FC693F"/>
    <w:pPr>
      <w:keepNext/>
      <w:keepLines/>
      <w:spacing w:before="320" w:after="80"/>
      <w:outlineLvl w:val="2"/>
    </w:pPr>
    <w:rPr>
      <w:rFonts w:asciiTheme="majorHAnsi" w:eastAsiaTheme="majorEastAsia" w:hAnsiTheme="majorHAnsi" w:cstheme="majorBidi" w:ascii="Arial" w:hAnsi="Arial" w:eastAsia="Arial"/>
      <w:b w:val="0"/>
      <w:bCs/>
      <w:color w:val="434343"/>
      <w:sz w:val="2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Executive Biography – Sally O’Callaghan</dc:title>
  <dc:subject>Third-person executive biography for appointments and stakeholder introductions</dc:subject>
  <dc:creator>Sally O’Callaghan</dc:creator>
  <cp:keywords>executive biography, research strategy, clinical trials, health-system leadership</cp:keywords>
  <dc:description>Preset: google_docs_default. Named override: one-page A4 geometry.</dc:description>
  <cp:lastModifiedBy/>
  <cp:revision>1</cp:revision>
  <dcterms:created xsi:type="dcterms:W3CDTF">2013-12-23T23:15:00Z</dcterms:created>
  <dcterms:modified xsi:type="dcterms:W3CDTF">2013-12-23T23:15:00Z</dcterms:modified>
  <cp:category/>
</cp:coreProperties>
</file>